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年度“广东省科技专家工作站”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申报名额分配表</w:t>
      </w:r>
    </w:p>
    <w:p>
      <w:pPr>
        <w:spacing w:line="271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79"/>
        <w:gridCol w:w="2179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申报名额（个）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省级科技社团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Calibr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在总量不变的前提下，可根据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各地</w:t>
      </w:r>
      <w:r>
        <w:rPr>
          <w:rFonts w:hint="eastAsia" w:ascii="仿宋" w:hAnsi="仿宋" w:eastAsia="仿宋"/>
          <w:sz w:val="32"/>
          <w:szCs w:val="32"/>
        </w:rPr>
        <w:t>申报情况进行动态调整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2.每家省级科技社团推荐名额为1个，若各省级科技团踊跃推荐，则建站总量适当增加。</w:t>
      </w:r>
    </w:p>
    <w:sectPr>
      <w:footerReference r:id="rId4" w:type="first"/>
      <w:footerReference r:id="rId3" w:type="default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B1B4558"/>
    <w:rsid w:val="7B1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2024-06-24T01:24:00Z</dcterms:created>
  <dc:creator>ycy</dc:creator>
  <cp:lastModifiedBy>ycy</cp:lastModifiedBy>
  <dcterms:modified xsi:type="dcterms:W3CDTF">2024-06-24T01:25:12Z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F286F066AE4540718819130F1C2E0BEE_11</vt:lpwstr>
  </property>
</Properties>
</file>