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afterAutospacing="0" w:line="560" w:lineRule="exact"/>
        <w:contextualSpacing/>
        <w:jc w:val="center"/>
        <w:rPr>
          <w:rFonts w:hint="eastAsia" w:ascii="方正小标宋简体" w:hAnsi="黑体" w:eastAsia="方正小标宋简体"/>
          <w:kern w:val="0"/>
          <w:sz w:val="44"/>
          <w:szCs w:val="4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afterAutospacing="0" w:line="560" w:lineRule="exact"/>
        <w:contextualSpacing/>
        <w:jc w:val="center"/>
        <w:rPr>
          <w:rFonts w:hint="eastAsia" w:ascii="方正小标宋简体" w:hAnsi="黑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kern w:val="0"/>
          <w:sz w:val="44"/>
          <w:szCs w:val="44"/>
        </w:rPr>
        <w:t>科普大篷车年度考核评分标准</w:t>
      </w:r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afterAutospacing="0" w:line="560" w:lineRule="exact"/>
        <w:contextualSpacing/>
        <w:jc w:val="center"/>
        <w:rPr>
          <w:rFonts w:hint="eastAsia" w:ascii="仿宋_GB2312" w:hAnsi="黑体" w:eastAsia="仿宋_GB2312"/>
          <w:kern w:val="0"/>
          <w:szCs w:val="21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（满分100分）</w:t>
      </w:r>
    </w:p>
    <w:tbl>
      <w:tblPr>
        <w:tblStyle w:val="4"/>
        <w:tblW w:w="8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775"/>
        <w:gridCol w:w="3992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考评指标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考评内容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right="113"/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运行保障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right="113"/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1.组织保障（5分）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成立科普大篷车工作队，有专（兼）职人员负责日常工作5分，无0分。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spacing w:val="-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2.制度保障（5分）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制定大篷车管理细则2分；有年度工作方案3分，无0分。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3.经费保障（5分）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专项活动经费5万元及以上5分，3～5万元4分，1～3万元3分，1万元以下2分。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right="113"/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活动情况（40分）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right="113"/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1.进社区、进农村、进学校、进机关、进企事业单位活动次数（25分）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每次1分，总分不超过25分。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2.参与大型主题活动次数（10分）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每次2分，总分不超过10分。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3.参与全省科普大篷车联合行动次数（5分）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每次5分，总分不超过5分。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ind w:right="113"/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材料报送（28分）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1.月数据反馈次数（12分）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每月1次及以上，且按时提交12分，月漏报一次扣1分。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2.图片实时上传次数（6分）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8"/>
                <w:kern w:val="0"/>
                <w:sz w:val="24"/>
                <w:szCs w:val="24"/>
              </w:rPr>
              <w:t>2017年以后配发的有北斗设备的车辆每月1次及以上6分，漏传一个月扣0.5分。无北斗设备的车辆不扣分。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  <w:szCs w:val="24"/>
              </w:rPr>
              <w:t>3.工作动态上传（10分）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每次1分，总分累计不超过10分。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社会效益（17分）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1.媒体报道次数（10分）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省级以上媒体1次2分，本级媒体1次1分，总分不超过10分。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2.活动受益总人数（7分）</w:t>
            </w:r>
          </w:p>
        </w:tc>
        <w:tc>
          <w:tcPr>
            <w:tcW w:w="39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年度总受益人数地市级管理单位5万人次以上计7分，3-5万人次计4分，3万人次以下计1分；县级管理单位2万人次以上7分，1-2万人次计4分，1万人次以下计1分。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7306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560" w:lineRule="exact"/>
              <w:contextualSpacing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rPr>
          <w:rFonts w:hint="eastAsia"/>
          <w:lang w:val="en-US" w:eastAsia="zh-CN"/>
        </w:rPr>
      </w:pPr>
    </w:p>
    <w:p/>
    <w:sectPr>
      <w:footerReference r:id="rId5" w:type="first"/>
      <w:footerReference r:id="rId3" w:type="default"/>
      <w:footerReference r:id="rId4" w:type="even"/>
      <w:pgSz w:w="11905" w:h="16838"/>
      <w:pgMar w:top="2041" w:right="1814" w:bottom="1701" w:left="1814" w:header="850" w:footer="1134" w:gutter="0"/>
      <w:pgNumType w:fmt="decimal"/>
      <w:cols w:space="720" w:num="1"/>
      <w:rtlGutter w:val="0"/>
      <w:docGrid w:type="linesAndChars" w:linePitch="322" w:charSpace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485F26BA"/>
    <w:rsid w:val="485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2024-03-20T03:42:00Z</dcterms:created>
  <dc:creator>ycy</dc:creator>
  <cp:lastModifiedBy>ycy</cp:lastModifiedBy>
  <dcterms:modified xsi:type="dcterms:W3CDTF">2024-03-20T03:42:11Z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D29EAF1361924846B3AF3D3FAB789362_11</vt:lpwstr>
  </property>
</Properties>
</file>